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Arial" w:cs="Arial" w:eastAsia="Arial" w:hAnsi="Arial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" w:cs="Arial" w:eastAsia="Arial" w:hAnsi="Arial"/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numPr>
          <w:ilvl w:val="0"/>
          <w:numId w:val="1"/>
        </w:numPr>
        <w:ind w:left="0" w:firstLine="0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KARTA 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3"/>
        <w:gridCol w:w="7662"/>
        <w:tblGridChange w:id="0">
          <w:tblGrid>
            <w:gridCol w:w="1983"/>
            <w:gridCol w:w="7662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PRAKTYCZNA NAUKA JĘZYKA ROSYJSKIEGO </w:t>
              <w:br w:type="textWrapping"/>
              <w:t xml:space="preserve">(sprawności językowe) </w:t>
              <w:br w:type="textWrapping"/>
              <w:t xml:space="preserve">Studia drugiego stopnia I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 w j. ang.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Practical Learning of the Russian Language </w:t>
            </w:r>
          </w:p>
        </w:tc>
      </w:tr>
    </w:tbl>
    <w:p w:rsidR="00000000" w:rsidDel="00000000" w:rsidP="00000000" w:rsidRDefault="00000000" w:rsidRPr="00000000" w14:paraId="0000000C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3187"/>
        <w:gridCol w:w="3190"/>
        <w:gridCol w:w="3268"/>
        <w:tblGridChange w:id="0">
          <w:tblGrid>
            <w:gridCol w:w="3187"/>
            <w:gridCol w:w="3190"/>
            <w:gridCol w:w="326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Koordynator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Katedra Językoznawstwa Rosyjskiego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Zespół dydaktyczny</w:t>
            </w:r>
          </w:p>
        </w:tc>
      </w:tr>
      <w:tr>
        <w:trPr>
          <w:cantSplit w:val="1"/>
          <w:trHeight w:val="34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Zgodnie z przydziałami zajęć dydaktycznych</w:t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bottom w:color="95b3d7" w:space="0" w:sz="4" w:val="single"/>
            </w:tcBorders>
            <w:tcMar>
              <w:left w:w="54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Punktacja ECTS*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kursu (cele kształcenia)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50"/>
        <w:tblGridChange w:id="0">
          <w:tblGrid>
            <w:gridCol w:w="9650"/>
          </w:tblGrid>
        </w:tblGridChange>
      </w:tblGrid>
      <w:tr>
        <w:trPr>
          <w:cantSplit w:val="0"/>
          <w:trHeight w:val="136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Celem zajęć jest: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Osiągnięcie wysokiego stopnia kompetencji komunikacyjnej, odpowiadającej płynności językowej na poziomie zaawansowanym (C1 plus);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opanowanie struktur syntaktycznych umożliwiających formułowanie złożonych wypowiedzi w formach pisemnej i ustnej;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kształtowanie umiejętności posługiwania się złożonymi strukturami leksykalno-gramatycznymi, szerokim zakresem zasobów leksykalnych (w tym niejednowyrazowych jednostek języka o charakterze idiomatycznym) umożliwiającym formułowanie poprawnych wypowiedzi w zakresie tematyki określonej </w:t>
              <w:br w:type="textWrapping"/>
              <w:t xml:space="preserve">w programie zajęć;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 kształtowanie umiejętności w zakresie indywidualnej i grupowej form pracy;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nowych i utrwalenie nabytych nawyków poprawnego pisania (ortograficznych i interpunkcyjnych),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umiejętności komunikacji i pracy w grupie oraz właściwej postawy i odpowiedniego stosunku do zajęć;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Warunki wstępne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rHeight w:val="55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Znajomość terminologii i zasad funkcjonowania podsystemów języka polskiego i rosyjskiego (na poziomie biegłości C1)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Wykorzystanie wiedzy i umiejętności nabytych w trakcie nauki języka ojczystego oraz języka rosyjskiego na poziomach podstawowym i średnio zaawansowanym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Kursy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Praktyczna nauka języka rosyjskiego I-VI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Efekty kształcenia 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79"/>
        <w:gridCol w:w="5296"/>
        <w:gridCol w:w="2375"/>
        <w:tblGridChange w:id="0">
          <w:tblGrid>
            <w:gridCol w:w="1979"/>
            <w:gridCol w:w="5296"/>
            <w:gridCol w:w="2375"/>
          </w:tblGrid>
        </w:tblGridChange>
      </w:tblGrid>
      <w:tr>
        <w:trPr>
          <w:cantSplit w:val="1"/>
          <w:trHeight w:val="93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838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W01 – zna materiał językowy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 z zakresu realizowanej tematyki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W02 – zna zagadnienia akcentuacyjne, posiada wiedzę z zakresu poprawnej artykulacji i intonacji rosyjskiej niezbędną do kreowania komunikatów monologowo-dialogowych w języku rosyjskim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W03 – id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entyfikuje zagadnienia z dziedziny podsystemów języka rosyjskiego, aktywnie posługuje się zasadami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gramatycznymi, stylistycznymi, ortograficznymi i interpunkcyjnymi, umie uzasadniać stosowanie poszczeghólnych reguł oraz poprawiać błędy przywolując odpowiednie zasady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939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2116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U01 – ma umiejętności językowe w zakresie języka rosyjskiego na poziomie biegłości C1, zgodne z wymaganiami określonymi przez Europejski System Opisu Kształcenia Językowego </w:t>
            </w:r>
          </w:p>
          <w:tbl>
            <w:tblPr>
              <w:tblStyle w:val="Table7"/>
              <w:tblW w:w="51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5118"/>
              <w:tblGridChange w:id="0">
                <w:tblGrid>
                  <w:gridCol w:w="5118"/>
                </w:tblGrid>
              </w:tblGridChange>
            </w:tblGrid>
            <w:tr>
              <w:trPr>
                <w:cantSplit w:val="0"/>
                <w:trHeight w:val="606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U02 – posiada pogłębioną umiejętność przygotowania typowych prac pisemnych w języku rosyjskim o charakterze ogólnym, odnoszących się do różnych dziedzin życia, dotyczących zagadnień szczegółowych, z wykorzystaniem podstawowych ujęć teoretycznych, a także różnych źródeł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U03 – posiada pogłębioną umiejętność przygotowania wystąpień ustnych w języku rosyjskim, dotyczących zagadnień szczegółowych, z wykorzystaniem podstawowych ujęć teoretycznych i różnych źródeł informacji </w:t>
                  </w:r>
                </w:p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U04 – posiada kompetencje potrzebne do przekładu tekstów lub komunikatów ustnych w języku rosyjskim o charakterze ogólnym 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U05 – potrafi wyszukiwać, analizować, oceniać, selekcjonować i użytkować informację z wykorzystaniem źródeł rosyjskojęzycznych oraz polskojęzycznych, a także formułować na tej podstawie krytyczne sądy, przeprowadzić krytyczną analizę i interpretację tekstów, uwzględniając konteksty społeczny i kulturowy </w:t>
                  </w:r>
                </w:p>
                <w:tbl>
                  <w:tblPr>
                    <w:tblStyle w:val="Table8"/>
                    <w:tblW w:w="4902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000"/>
                  </w:tblPr>
                  <w:tblGrid>
                    <w:gridCol w:w="4666"/>
                    <w:gridCol w:w="236"/>
                    <w:tblGridChange w:id="0">
                      <w:tblGrid>
                        <w:gridCol w:w="4666"/>
                        <w:gridCol w:w="236"/>
                      </w:tblGrid>
                    </w:tblGridChange>
                  </w:tblGrid>
                  <w:tr>
                    <w:trPr>
                      <w:cantSplit w:val="0"/>
                      <w:trHeight w:val="226" w:hRule="atLeast"/>
                      <w:tblHeader w:val="0"/>
                    </w:trPr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5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</w:p>
                      <w:p w:rsidR="00000000" w:rsidDel="00000000" w:rsidP="00000000" w:rsidRDefault="00000000" w:rsidRPr="00000000" w14:paraId="00000066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posiada pogłębione umiejętności pozwalające na aktywne uczestnictwo w dyskusji na temat dziedzin nauk studiowanych w ramach specjalności filologia rosyjska 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7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U07 potrafi, przestrzegając zasad stylistycznych, wybrać taktykę zachowań werbalnych w zależności od celów, zadań, czasu, miejsca komunikacji, statusu społecznego i kompetencji komunikatywnej rozmówcy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80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Kompetencje społeczne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98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K01 – ma świadomość zakresu swojej wiedzy i posiadanych umiejętności oraz uznaje potrzebę ciągłego dokształcania się i rozwoju zawodowego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K02 – ma świadomość wagi zdobywania i doskonalenia swojej kompetencji semiolingwistycznej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K03 – potrafi współdziałać i pracować w grupie, przyjmując w niej różne role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K04 – potrafi właściwie, skutecznie zaplanować swoje działania związane z wykonywaniem wybranego zawodu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K05 – rozumie konieczność przestrzegania etyki wybranego zawodu i kieruje się jej zasadami </w:t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 – ma świadomość dziedzictwa kulturowego w jego różnorodności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5.0" w:type="dxa"/>
        <w:jc w:val="left"/>
        <w:tblInd w:w="-139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  <w:tblGridChange w:id="0">
          <w:tblGrid>
            <w:gridCol w:w="1608"/>
            <w:gridCol w:w="1224"/>
            <w:gridCol w:w="850"/>
            <w:gridCol w:w="272"/>
            <w:gridCol w:w="861"/>
            <w:gridCol w:w="316"/>
            <w:gridCol w:w="817"/>
            <w:gridCol w:w="286"/>
            <w:gridCol w:w="851"/>
            <w:gridCol w:w="283"/>
            <w:gridCol w:w="851"/>
            <w:gridCol w:w="284"/>
            <w:gridCol w:w="849"/>
            <w:gridCol w:w="293"/>
          </w:tblGrid>
        </w:tblGridChange>
      </w:tblGrid>
      <w:tr>
        <w:trPr>
          <w:cantSplit w:val="1"/>
          <w:trHeight w:val="424" w:hRule="atLeast"/>
          <w:tblHeader w:val="0"/>
        </w:trPr>
        <w:tc>
          <w:tcPr>
            <w:gridSpan w:val="14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45" w:right="13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Organizacja</w:t>
            </w:r>
          </w:p>
        </w:tc>
      </w:tr>
      <w:tr>
        <w:trPr>
          <w:cantSplit w:val="1"/>
          <w:trHeight w:val="65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zajęć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(W)</w:t>
            </w:r>
          </w:p>
        </w:tc>
        <w:tc>
          <w:tcPr>
            <w:gridSpan w:val="1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Ćwiczenia w grupach</w:t>
            </w:r>
          </w:p>
        </w:tc>
      </w:tr>
      <w:tr>
        <w:trPr>
          <w:cantSplit w:val="1"/>
          <w:trHeight w:val="477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60</w:t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metod prowadzenia zajęć</w:t>
      </w:r>
    </w:p>
    <w:p w:rsidR="00000000" w:rsidDel="00000000" w:rsidP="00000000" w:rsidRDefault="00000000" w:rsidRPr="00000000" w14:paraId="000000D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92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podająca: objaśnienie, wyjaśnienie, opis</w:t>
            </w:r>
          </w:p>
          <w:p w:rsidR="00000000" w:rsidDel="00000000" w:rsidP="00000000" w:rsidRDefault="00000000" w:rsidRPr="00000000" w14:paraId="000000D5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eksponująca: załączniki CD, zasoby audiowizualne Internetu (filmy, nagrania video, TV programy) </w:t>
            </w:r>
          </w:p>
          <w:p w:rsidR="00000000" w:rsidDel="00000000" w:rsidP="00000000" w:rsidRDefault="00000000" w:rsidRPr="00000000" w14:paraId="000000D6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praktyczna: ćwiczenia</w:t>
            </w:r>
          </w:p>
          <w:p w:rsidR="00000000" w:rsidDel="00000000" w:rsidP="00000000" w:rsidRDefault="00000000" w:rsidRPr="00000000" w14:paraId="000000D7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gramatyczno-tłumaczeniowa: tłumaczenie ustne, pisemne w parach językowych polski-rosyjski, rosyjski-polski  </w:t>
            </w:r>
          </w:p>
          <w:p w:rsidR="00000000" w:rsidDel="00000000" w:rsidP="00000000" w:rsidRDefault="00000000" w:rsidRPr="00000000" w14:paraId="000000D8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Metoda komunikacyjna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Metoda projektów (indywidualnych i grupowych)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Formy sprawdzania efektów kształcenia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Formy sprawdzania efektów kształcenia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21.000000000002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  <w:tblGridChange w:id="0">
          <w:tblGrid>
            <w:gridCol w:w="962"/>
            <w:gridCol w:w="666"/>
            <w:gridCol w:w="666"/>
            <w:gridCol w:w="666"/>
            <w:gridCol w:w="666"/>
            <w:gridCol w:w="666"/>
            <w:gridCol w:w="666"/>
            <w:gridCol w:w="666"/>
            <w:gridCol w:w="666"/>
            <w:gridCol w:w="564"/>
            <w:gridCol w:w="769"/>
            <w:gridCol w:w="666"/>
            <w:gridCol w:w="666"/>
            <w:gridCol w:w="666"/>
          </w:tblGrid>
        </w:tblGridChange>
      </w:tblGrid>
      <w:tr>
        <w:trPr>
          <w:cantSplit w:val="1"/>
          <w:trHeight w:val="1616" w:hRule="atLeast"/>
          <w:tblHeader w:val="0"/>
        </w:trPr>
        <w:tc>
          <w:tcPr>
            <w:tcBorders>
              <w:bottom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DF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0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 – learning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1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Gry dydaktyczne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2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Ćwiczenia w szkole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3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Zajęcia terenowe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4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laboratoryjna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5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indywidualny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6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grupowy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7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Udział w dyskusji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8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Referat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9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pisemna (esej)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A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ustny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B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pisemny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C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Inne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U07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oceny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undywidualnych i grupowych. 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semestru na podstawie ocen uzyskanych z prac domowych, z prac zaliczeniowych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testy leksykalno-gramatyczne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wypracowania 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dyktanda 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tłumaczenia zdań i zwartych tekstów.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prac pisemnych na min.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0 % od przewidzianej w pracy ilości punktów (testy leksykalno-gramatyczne, dyktanda, tłumaczenia zdań i tekstów, wypracowania).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Uzyskanie zaliczenia jest warunkiem koniecznym do dopuszczenia do egzaminu.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Ocena pozytywna z egzaminu – po uzyskaniu min. 60% wymaganych punktów.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rHeight w:val="108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Uwagi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Treści merytoryczne (wykaz tematów)</w:t>
      </w:r>
    </w:p>
    <w:p w:rsidR="00000000" w:rsidDel="00000000" w:rsidP="00000000" w:rsidRDefault="00000000" w:rsidRPr="00000000" w14:paraId="000001E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136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TREŚCI I KOMPETENCJE W ZAKRESIE KOMUNIKACJI WERBALNEJ (C1)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Intencje. Sytuacje i tematy komunikacji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 i taktyki zachowań werbalnych w sytuacjach oficjalnej / nieoficjalnej, bezpośredniej / pośredniej komunikacji (1) nawiązywania kontaktów 2) regulacyjne, 3) informacyjne i 4) ewaluacyjne)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oficjalno-urzędowej (z zaspokajaniem potrzeb społecznych w komunikacji z przedstawicielami instytucji administracyjnych, państwowych, społecznych oraz organizacjami)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Skomplikowane formy etykiety językowej 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Sposoby i formy wyrażania stanów emocjonalnych 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MINIMUM LEKSYKALNE 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poziomie C1 wynosi 12000 jednostek (komunikacja w ramach minimalnych standardów tematycznych i intencjonalnych, aktywna część słownika to 7000 jednostek)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Pierwszy krąg tematyczny (sfera relacji międzyludzkich, realizacja osobistych zainteresowań mówiącego)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 wolny: kultura, sztuka, podróże, formy aktywnego wypoczynku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Drugi krąg tematyczny (sfera potrzeb społecznych mówiącego)</w:t>
              <w:br w:type="textWrapping"/>
              <w:t xml:space="preserve">Muzea w Rosji i na świecie</w:t>
              <w:br w:type="textWrapping"/>
              <w:t xml:space="preserve">Turystyka: podróże po parkach narodowych i rezerwatach Rosji (aspekt krajoznawczo-językowy)</w:t>
            </w:r>
          </w:p>
          <w:p w:rsidR="00000000" w:rsidDel="00000000" w:rsidP="00000000" w:rsidRDefault="00000000" w:rsidRPr="00000000" w14:paraId="000001F5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Trzeci krąg tematyczny (ogólne zagadnienia humanistyczne)</w:t>
            </w:r>
          </w:p>
          <w:p w:rsidR="00000000" w:rsidDel="00000000" w:rsidP="00000000" w:rsidRDefault="00000000" w:rsidRPr="00000000" w14:paraId="000001F6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Sztuka monumentalna, architektura i urbanistyka)</w:t>
              <w:br w:type="textWrapping"/>
              <w:t xml:space="preserve">Obiekty Światowego Dziedzictwa UNESCO</w:t>
              <w:br w:type="textWrapping"/>
              <w:t xml:space="preserve">Arcydzieła rosyjskiej i światowej kultury muzycznej</w:t>
              <w:br w:type="textWrapping"/>
              <w:t xml:space="preserve">Teatr</w:t>
              <w:br w:type="textWrapping"/>
              <w:t xml:space="preserve">Balet</w:t>
              <w:br w:type="textWrapping"/>
              <w:t xml:space="preserve">Uczestnictwo w wydarzeniach kulturalnych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Opanowanie potencjału leksykalnego zachęca mówić o walorach artystycznych dzieł sztuki: plastycznej, muzycznej i teatralnej, pozwala na krytyczne komentarze w kręgu twórczości artystycznej, dyskutować o problemach kultury masowej, o wolności autora dotyczącej twórczego samowyrażania się i rozumienia sztuki.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KOMPETENCJE JĘZYKOWE (C1)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 fonetyczna i intonacyjna języka rosyjskiego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Normy ortoepiczne we współczesnym języku rosyjskim (fakultatywne i niefakultatywne) 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zapożyczeń w języku rosyjskim 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wyrazów z akcentem głównym i pobocznym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Typy intonacji (zgoda, zdziwienie, rozczarowanie, rozrzewnienie itd.)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Konstrukcje intonacyjne (KI-5, KI-6, KI-7) w zdaniach emocjonalnie nacechowanych – oceniających.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Słowotwórstwo. Morfologia (z uwzględnieniem aspektów ortograficznych)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Semantyczny i stylistyczny potencjał afiksów.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(w tym formacji ekspresywnych).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złożonych.</w:t>
              <w:br w:type="textWrapping"/>
              <w:t xml:space="preserve">Substantywizacja – cechy słowotwórcze</w:t>
              <w:br w:type="textWrapping"/>
              <w:t xml:space="preserve">Charakterystyka słowotwórcza przymiotników z sufiksami: -ан-/-ян-,-енн-,-онн-,-н-,-ов-,-тель-н-,-еньк-/-оньк-,-оват- itp.</w:t>
              <w:br w:type="textWrapping"/>
              <w:t xml:space="preserve">Charakterystyka słowotwórcza czasowników (prefiksy i sufiksy formo- i słowotwórcze).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Modele słowotwórcze czasowników (до-..-ся; в-..-ся; на-..-ся; пере-..-ся; рас-..-ся).  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przysłówków (na -ой, -ом, -ью, -а, -е, -и,-о); z afiksami не (не-), ни (ни-); -то, -нибудь, - либо, кое-).  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Rzeczownik. Klasyfikacja leksykalno-gramatyczna (ożywione-nieożywione, własne-pospolite, abstrakcyjne-konkretne, zbiorowe-substancjalne). Skomplikowane przypadki określenia rodzaju, liczby rzeczowników. Konstrukcje przyimkowe i bezprzyimkowe rzeczownika   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Zaimek. Znaczenie, użycie i odmiana.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Rekcja czasownika. Imiesłowy (przymiotnikowy, przysłówkowy)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Liczebnik. Liczebniki zbiorowe w zdaniu. Związki składniowe liczebników. 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Praca systematyczna nad poprawnością ortograficzną, umiejętnością dostrzegania problemów ortograficznychnego (czyli stanu wątpliwości co do postaci graficznej wyrazu i umiejętności jej rozstrzygnięcia), rozwijaniem poprawnego ortograficznie pisania i stałej kontroli przez zróżnicowane ćwiczenia.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prostego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Modalność w zdaniu (w tym wyrażanie wartości modalnych poprzez użycie wtrąceń i związków wyrazowych)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złożonego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współrzędnie złożone:  łączne, przeciwstawne, rozłączne, porównawcze i inne. Zdania podrzędnie złożone: orzecznikowe, przydawkowe, okolicznikowe, warunkowe, przyczynowo-skutkowe,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podstawowej</w:t>
      </w:r>
    </w:p>
    <w:p w:rsidR="00000000" w:rsidDel="00000000" w:rsidP="00000000" w:rsidRDefault="00000000" w:rsidRPr="00000000" w14:paraId="0000022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59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Требования стандарта ТРКИ  С1 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http://gct.msu.ru/testirovanie/testirovanie-trki/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http://gct.msu.ru/docs/C1_standart.pdf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Образовательный стандарт по русскому языку как иностранному. III уровень. Общее владение. Москва – Санкт-Петербург (изд. «Златоуст»), 1999. 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Типовой тест по русскому языку как иностранному. III сертификационный уровень. Москва – Санкт-Петербург (изд. «Златоуст»), 2000. 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Тренировочные тесты по русскому языку как иностранному. III сертификационный уровень. Андрюшина Н.П. и др. Санкт-Петербург (изд. «Златоуст»), 2010.  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Окно в Россию: учебное пособие по русскому языку как иностранному для продвинутого этапа </w:t>
              <w:br w:type="textWrapping"/>
              <w:t xml:space="preserve">(B2-C1). В 2-х частях. Скороходов Л. и др. Санкт-Петербург (изд. «Златоуст»), 2010.  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А. Родимкина, Н. Ландсман. Россия: день сегодняшний. Тексты и упражнения. Warszawa, 2005. 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Остановка: Россия!  Magazyn dla uczących się języka rosyjskiego. Вып. 1-22. 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Содержание номеров: </w:t>
            </w:r>
            <w:hyperlink r:id="rId11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http://www.ostanowka.pl/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Правила русской орфографии и пунктуации. Полный академический справочник Института русского языка им. В. В. Виноградова РАН (отв. ред. В.В. Лопатин). М., 2006. 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Русский  орфографический словарь (под ред. В.В. Лопатина, ок. 200000 слов). М., 2005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Справочно-информационный портал  ГРАМОТА.РУ (</w:t>
            </w:r>
            <w:hyperlink r:id="rId12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  <w:br w:type="textWrapping"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Научно-информационный «Орфографический академический ресурс АКАДЕМОС» </w:t>
              <w:br w:type="textWrapping"/>
              <w:t xml:space="preserve">Института русского языка им. В.В. Виноградова РАН </w:t>
            </w:r>
            <w:hyperlink r:id="rId13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http://orfo.ruslang.ru/abc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Д.Э.  750 упражнений по русскому языку с ответами для поступающих в вузы. М., 2003.   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 Э. Русский язык: Пособие для поступающих в вузы. Москва (изд. МГУ), 1994. 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Греков  В.Ф., Крючков С.Е., Чешко Л.А.  Русский язык (10-11 классы) 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4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https://gdz.ru/gdz/class-10/russkii_yazik/grekov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    Михеева Л. Серия «Методические тетради». Экспериментальные материалы для обучения </w:t>
              <w:br w:type="textWrapping"/>
              <w:t xml:space="preserve">    пунктуации русского языка. Краков, UP, 2012.  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Zasoby internetowe (dostępne na portalach: </w:t>
            </w:r>
            <w:hyperlink r:id="rId15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http://tvkultura.ru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hyperlink r:id="rId16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https://www.youtube.com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http://gramota.ru/class/video/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3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 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«Третьяковка – дар бесценный» (цикл видеофильмов о шедеврах ТГ).  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«Абсолютный слух» (альманах Геннадия Янина по истории музыкальной культуры)  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«Билет в Большой» («Монологи о себе», рубрика представляет солистов БТ) 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«Пешком» (рассказчик и краевед М. Жебрак приглашает на прогулку по заповедным уголкам Москвы и других городов России)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    «Белая студия» (беседы Дарьи Златопольской с теми, кто формирует сегодняшнюю культурную </w:t>
              <w:br w:type="textWrapping"/>
              <w:t xml:space="preserve">     составляющую России)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uzupełniającej</w:t>
      </w:r>
    </w:p>
    <w:p w:rsidR="00000000" w:rsidDel="00000000" w:rsidP="00000000" w:rsidRDefault="00000000" w:rsidRPr="00000000" w14:paraId="0000024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112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24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Materiały własne prowadzącego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Bilans godzinowy zgodny z CNPS (Całkowity Nakład Pracy Studenta)</w:t>
      </w:r>
    </w:p>
    <w:p w:rsidR="00000000" w:rsidDel="00000000" w:rsidP="00000000" w:rsidRDefault="00000000" w:rsidRPr="00000000" w14:paraId="000002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592.0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2766"/>
        <w:gridCol w:w="5748"/>
        <w:gridCol w:w="1078"/>
        <w:tblGridChange w:id="0">
          <w:tblGrid>
            <w:gridCol w:w="2766"/>
            <w:gridCol w:w="5748"/>
            <w:gridCol w:w="1078"/>
          </w:tblGrid>
        </w:tblGridChange>
      </w:tblGrid>
      <w:tr>
        <w:trPr>
          <w:cantSplit w:val="1"/>
          <w:trHeight w:val="33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w kontakcie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Wykład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Konwersatorium (ćwiczenia, laboratorium itd.)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60</w:t>
            </w:r>
          </w:p>
        </w:tc>
      </w:tr>
      <w:tr>
        <w:trPr>
          <w:cantSplit w:val="1"/>
          <w:trHeight w:val="67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Pozostałe godziny kontaktu studenta z prowadzącym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  130</w:t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pracy studenta bez kontaktu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Lektura w ramach przygotowania do zajęć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85</w:t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krótkiej pracy pisemnej lub referatu po zapoznaniu się z niezbędną literaturą przedmiotu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1"/>
          <w:trHeight w:val="731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projektu lub prezentacji na podany temat (praca w grupie)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1"/>
          <w:trHeight w:val="365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do egzaminu/zaliczenia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Ogółem bilans czasu pracy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widowControl w:val="1"/>
              <w:spacing w:line="276" w:lineRule="auto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  32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1"/>
              <w:spacing w:line="276" w:lineRule="auto"/>
              <w:ind w:left="36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punktów ECTS w zależności od przyjętego przelicznika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8" w:type="default"/>
      <w:footerReference r:id="rId19" w:type="default"/>
      <w:pgSz w:h="16838" w:w="11906" w:orient="portrait"/>
      <w:pgMar w:bottom="1134" w:top="1276" w:left="1134" w:right="1134" w:header="45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1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8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left="0" w:firstLine="0"/>
      <w:jc w:val="center"/>
    </w:pPr>
    <w:rPr>
      <w:rFonts w:ascii="Verdana" w:cs="Verdana" w:eastAsia="Verdana" w:hAnsi="Verdana"/>
      <w:color w:val="00000a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Verdana" w:cs="Verdana" w:eastAsia="Times New Roman" w:hAnsi="Verdana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numeracji">
    <w:name w:val="Znaki numeracji"/>
    <w:next w:val="Znakinumeracj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stron">
    <w:name w:val="Numer stron"/>
    <w:next w:val="Numerstron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basedOn w:val="Domyślnaczcionkaakapitu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"/>
    <w:next w:val="Body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1">
    <w:name w:val="Podpis1"/>
    <w:basedOn w:val="Normal"/>
    <w:next w:val="Podpis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er">
    <w:name w:val="Header"/>
    <w:basedOn w:val="Normal"/>
    <w:next w:val="Header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ramki">
    <w:name w:val="Zawartość ramki"/>
    <w:basedOn w:val="BodyText"/>
    <w:next w:val="Zawartośćramki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komentarza">
    <w:name w:val="Tekst komentarza"/>
    <w:basedOn w:val="Normal"/>
    <w:next w:val="Teks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CommentSubject">
    <w:name w:val="Comment Subject"/>
    <w:basedOn w:val="Tekstkomentarza"/>
    <w:next w:val="CommentSubjec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"/>
    <w:next w:val="Tekstdymk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"/>
    <w:next w:val="Tema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numbering" w:styleId="WW8Num1">
    <w:name w:val="WW8Num1"/>
    <w:next w:val="WW8Num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2">
    <w:name w:val="WW8Num2"/>
    <w:next w:val="WW8Num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3">
    <w:name w:val="WW8Num3"/>
    <w:next w:val="WW8Num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4">
    <w:name w:val="WW8Num4"/>
    <w:next w:val="WW8Num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OC1">
    <w:name w:val="TOC 1"/>
    <w:basedOn w:val="Normal"/>
    <w:next w:val="Normal"/>
    <w:autoRedefine w:val="0"/>
    <w:hidden w:val="0"/>
    <w:qFormat w:val="1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BalloonText1">
    <w:name w:val="Balloon Text1"/>
    <w:basedOn w:val="Normal"/>
    <w:next w:val="BalloonText1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OC2">
    <w:name w:val="TOC 2"/>
    <w:basedOn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9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ostanowka.pl/" TargetMode="External"/><Relationship Id="rId10" Type="http://schemas.openxmlformats.org/officeDocument/2006/relationships/hyperlink" Target="http://www.spbdk.ru/catalog/2670131.html" TargetMode="External"/><Relationship Id="rId13" Type="http://schemas.openxmlformats.org/officeDocument/2006/relationships/hyperlink" Target="http://orfo.ruslang.ru/abc" TargetMode="External"/><Relationship Id="rId12" Type="http://schemas.openxmlformats.org/officeDocument/2006/relationships/hyperlink" Target="http://gramota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gct.msu.ru/docs/C1_standart.pdf" TargetMode="External"/><Relationship Id="rId15" Type="http://schemas.openxmlformats.org/officeDocument/2006/relationships/hyperlink" Target="http://tvkultura.ru/" TargetMode="External"/><Relationship Id="rId14" Type="http://schemas.openxmlformats.org/officeDocument/2006/relationships/hyperlink" Target="https://gdz.ru/gdz/class-10/russkii_yazik/grekov" TargetMode="External"/><Relationship Id="rId17" Type="http://schemas.openxmlformats.org/officeDocument/2006/relationships/hyperlink" Target="http://gramota.ru/class/video/" TargetMode="External"/><Relationship Id="rId16" Type="http://schemas.openxmlformats.org/officeDocument/2006/relationships/hyperlink" Target="https://www.youtube.com/" TargetMode="Externa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gct.msu.ru/testirovanie/testirovanie-trki/" TargetMode="External"/><Relationship Id="rId8" Type="http://schemas.openxmlformats.org/officeDocument/2006/relationships/hyperlink" Target="http://gct.msu.ru/docs/C1_tes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QKZ0rz+n3Jvz8E57hB26XTl0cg==">CgMxLjA4AHIhMU9iYnRFc1VRbmRXRHVpSHZrWG4tM2t1dE1kaXhYaHIz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2019-09-20T13:59:00Z</dcterms:created>
  <dc:creator>Barbara Wilk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